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after="280"/>
      </w:pPr>
      <w:r>
        <w:drawing>
          <wp:inline xmlns:a="http://schemas.openxmlformats.org/drawingml/2006/main" xmlns:pic="http://schemas.openxmlformats.org/drawingml/2006/picture">
            <wp:extent cx="1874519" cy="321346"/>
            <wp:docPr id="1" name="Picture 1" descr="Velotrade logo" title="Velotrade logo"/>
            <wp:cNvGraphicFramePr>
              <a:graphicFrameLocks noChangeAspect="1"/>
            </wp:cNvGraphicFramePr>
            <a:graphic>
              <a:graphicData uri="http://schemas.openxmlformats.org/drawingml/2006/picture">
                <pic:pic>
                  <pic:nvPicPr>
                    <pic:cNvPr id="0" name="velotrade-logo.png"/>
                    <pic:cNvPicPr/>
                  </pic:nvPicPr>
                  <pic:blipFill>
                    <a:blip r:embed="rId11"/>
                    <a:stretch>
                      <a:fillRect/>
                    </a:stretch>
                  </pic:blipFill>
                  <pic:spPr>
                    <a:xfrm>
                      <a:off x="0" y="0"/>
                      <a:ext cx="1874519" cy="321346"/>
                    </a:xfrm>
                    <a:prstGeom prst="rect"/>
                  </pic:spPr>
                </pic:pic>
              </a:graphicData>
            </a:graphic>
          </wp:inline>
        </w:drawing>
      </w:r>
    </w:p>
    <w:p>
      <w:pPr>
        <w:spacing w:after="100"/>
      </w:pPr>
      <w:r>
        <w:rPr>
          <w:rFonts w:ascii="Arial" w:hAnsi="Arial"/>
          <w:b/>
          <w:color w:val="01CB6A"/>
          <w:sz w:val="18"/>
        </w:rPr>
        <w:t>DXTRADE API  •  QUICK START</w:t>
      </w:r>
    </w:p>
    <w:p>
      <w:pPr>
        <w:spacing w:after="80"/>
      </w:pPr>
      <w:r>
        <w:rPr>
          <w:rFonts w:ascii="Arial" w:hAnsi="Arial"/>
          <w:b/>
          <w:color w:val="0F172A"/>
          <w:sz w:val="50"/>
        </w:rPr>
        <w:t>Put the Velotrade AI-KB to work</w:t>
      </w:r>
    </w:p>
    <w:p>
      <w:pPr>
        <w:spacing w:after="240"/>
      </w:pPr>
      <w:r>
        <w:rPr>
          <w:rFonts w:ascii="Arial" w:hAnsi="Arial"/>
          <w:color w:val="59616C"/>
          <w:sz w:val="25"/>
        </w:rPr>
        <w:t>A simple setup guide for AI-assisted DXtrade API implementation</w:t>
      </w:r>
    </w:p>
    <w:p>
      <w:pPr>
        <w:spacing w:after="160"/>
        <w:pBdr>
          <w:bottom w:val="single" w:sz="14" w:space="8" w:color="01CB6A"/>
        </w:pBdr>
      </w:pPr>
    </w:p>
    <w:p>
      <w:pPr>
        <w:spacing w:before="100" w:after="140" w:line="269" w:lineRule="auto"/>
        <w:ind w:left="202" w:right="202"/>
        <w:shd w:fill="EAFBF3"/>
        <w:pBdr>
          <w:top w:val="single" w:sz="4" w:color="D7DDE3" w:space="5"/>
          <w:left w:val="single" w:sz="4" w:color="D7DDE3" w:space="5"/>
          <w:bottom w:val="single" w:sz="4" w:color="D7DDE3" w:space="5"/>
          <w:right w:val="single" w:sz="4" w:color="D7DDE3" w:space="5"/>
        </w:pBdr>
      </w:pPr>
      <w:r>
        <w:rPr>
          <w:rFonts w:ascii="Arial" w:hAnsi="Arial"/>
          <w:b/>
          <w:color w:val="01CB6A"/>
          <w:sz w:val="19"/>
        </w:rPr>
        <w:t>THE PURPOSE</w:t>
        <w:br/>
      </w:r>
      <w:r>
        <w:rPr>
          <w:rFonts w:ascii="Arial" w:hAnsi="Arial"/>
          <w:color w:val="0F172A"/>
          <w:sz w:val="18"/>
        </w:rPr>
        <w:t>The AI-KB gives an AI the Velotrade-specific technical context, examples and safety workflow needed to explain, build and test DXtrade REST and Push integrations without relying on generic assumptions. Velotrade does not currently support or provision FIX API connectivity.</w:t>
      </w:r>
    </w:p>
    <w:p>
      <w:pPr>
        <w:pStyle w:val="Heading1"/>
      </w:pPr>
      <w:r>
        <w:t>What this enables</w:t>
      </w:r>
    </w:p>
    <w:p>
      <w:r>
        <w:rPr>
          <w:rFonts w:ascii="Arial" w:hAnsi="Arial"/>
          <w:color w:val="1D1D1B"/>
          <w:sz w:val="21"/>
        </w:rPr>
        <w:t>Once the complete folder is available to your AI, it can guide account and instrument discovery, generate integration code, perform read-only connectivity checks, interpret known deployment behaviours and support carefully bounded simulated-account testing after explicit authorisation.</w:t>
      </w:r>
    </w:p>
    <w:p>
      <w:pPr>
        <w:pStyle w:val="Heading1"/>
      </w:pPr>
      <w:r>
        <w:t>Set up in four steps</w:t>
      </w:r>
    </w:p>
    <w:p>
      <w:pPr>
        <w:spacing w:after="50" w:line="264" w:lineRule="auto"/>
        <w:numPr>
          <w:ilvl w:val="0"/>
          <w:numId w:val="11"/>
        </w:numPr>
      </w:pPr>
      <w:r>
        <w:rPr>
          <w:rFonts w:ascii="Arial" w:hAnsi="Arial"/>
          <w:b/>
          <w:color w:val="0F172A"/>
          <w:sz w:val="20"/>
        </w:rPr>
        <w:t>Upload the extracted Version 2.11 folder</w:t>
      </w:r>
      <w:r>
        <w:rPr>
          <w:rFonts w:ascii="Arial" w:hAnsi="Arial"/>
          <w:color w:val="1D1D1B"/>
          <w:sz w:val="20"/>
        </w:rPr>
        <w:t xml:space="preserve"> — README.md must be visible at the upload root. Keep every filename and subfolder together.</w:t>
      </w:r>
    </w:p>
    <w:p>
      <w:pPr>
        <w:spacing w:after="50" w:line="264" w:lineRule="auto"/>
        <w:numPr>
          <w:ilvl w:val="0"/>
          <w:numId w:val="11"/>
        </w:numPr>
      </w:pPr>
      <w:r>
        <w:rPr>
          <w:rFonts w:ascii="Arial" w:hAnsi="Arial"/>
          <w:b/>
          <w:color w:val="0F172A"/>
          <w:sz w:val="20"/>
        </w:rPr>
        <w:t>Tell the AI to follow the package</w:t>
      </w:r>
      <w:r>
        <w:rPr>
          <w:rFonts w:ascii="Arial" w:hAnsi="Arial"/>
          <w:color w:val="1D1D1B"/>
          <w:sz w:val="20"/>
        </w:rPr>
        <w:t xml:space="preserve"> — ask it to use READING_ORDER.md as the single canonical sequence.</w:t>
      </w:r>
    </w:p>
    <w:p>
      <w:pPr>
        <w:spacing w:after="50" w:line="264" w:lineRule="auto"/>
        <w:numPr>
          <w:ilvl w:val="0"/>
          <w:numId w:val="11"/>
        </w:numPr>
      </w:pPr>
      <w:r>
        <w:rPr>
          <w:rFonts w:ascii="Arial" w:hAnsi="Arial"/>
          <w:b/>
          <w:color w:val="0F172A"/>
          <w:sz w:val="20"/>
        </w:rPr>
        <w:t>Verify understanding</w:t>
      </w:r>
      <w:r>
        <w:rPr>
          <w:rFonts w:ascii="Arial" w:hAnsi="Arial"/>
          <w:color w:val="1D1D1B"/>
          <w:sz w:val="20"/>
        </w:rPr>
        <w:t xml:space="preserve"> — use TEST_QUESTIONS.md for first use or release acceptance; use ROUTINE_CHECKLIST.md for repeat sessions.</w:t>
      </w:r>
    </w:p>
    <w:p>
      <w:pPr>
        <w:spacing w:after="50" w:line="264" w:lineRule="auto"/>
        <w:numPr>
          <w:ilvl w:val="0"/>
          <w:numId w:val="11"/>
        </w:numPr>
      </w:pPr>
      <w:r>
        <w:rPr>
          <w:rFonts w:ascii="Arial" w:hAnsi="Arial"/>
          <w:b/>
          <w:color w:val="0F172A"/>
          <w:sz w:val="20"/>
        </w:rPr>
        <w:t>Confirm context, then diagnose</w:t>
      </w:r>
      <w:r>
        <w:rPr>
          <w:rFonts w:ascii="Arial" w:hAnsi="Arial"/>
          <w:color w:val="1D1D1B"/>
          <w:sz w:val="20"/>
        </w:rPr>
        <w:t xml:space="preserve"> — before credentials or discovery, state the account type or challenge plan and current phase; then run the included doctor and smoke checks.</w:t>
      </w:r>
    </w:p>
    <w:p>
      <w:pPr>
        <w:spacing w:before="100" w:after="140" w:line="269" w:lineRule="auto"/>
        <w:ind w:left="202" w:right="202"/>
        <w:shd w:fill="F4F8FF"/>
        <w:pBdr>
          <w:top w:val="single" w:sz="4" w:color="D7DDE3" w:space="5"/>
          <w:left w:val="single" w:sz="4" w:color="D7DDE3" w:space="5"/>
          <w:bottom w:val="single" w:sz="4" w:color="D7DDE3" w:space="5"/>
          <w:right w:val="single" w:sz="4" w:color="D7DDE3" w:space="5"/>
        </w:pBdr>
      </w:pPr>
      <w:r>
        <w:rPr>
          <w:rFonts w:ascii="Arial" w:hAnsi="Arial"/>
          <w:b/>
          <w:color w:val="01CB6A"/>
          <w:sz w:val="19"/>
        </w:rPr>
        <w:t>STARTER PROMPT</w:t>
        <w:br/>
      </w:r>
      <w:r>
        <w:rPr>
          <w:rFonts w:ascii="Arial" w:hAnsi="Arial"/>
          <w:color w:val="0F172A"/>
          <w:sz w:val="18"/>
        </w:rPr>
        <w:t>"Use the attached Velotrade AI-KB as the deployment-specific technical authority. Read README.md and AI_INSTRUCTIONS.md first, complete the knowledge checks, then ask me for the account type or challenge plan and current phase before credentials or discovery. Protect all secrets and begin with read-only REST and Push discovery. Do not enable mutations without my explicit bounded authorisation."</w:t>
      </w:r>
    </w:p>
    <w:p>
      <w:r>
        <w:br w:type="page"/>
      </w:r>
    </w:p>
    <w:p>
      <w:pPr>
        <w:pStyle w:val="Heading1"/>
      </w:pPr>
      <w:r>
        <w:t>What your AI can help you accomplish</w:t>
      </w:r>
    </w:p>
    <w:p>
      <w:pPr>
        <w:spacing w:after="50" w:line="264" w:lineRule="auto"/>
        <w:numPr>
          <w:ilvl w:val="0"/>
          <w:numId w:val="10"/>
        </w:numPr>
      </w:pPr>
      <w:r>
        <w:rPr>
          <w:rFonts w:ascii="Arial" w:hAnsi="Arial"/>
          <w:b/>
          <w:color w:val="0F172A"/>
          <w:sz w:val="20"/>
        </w:rPr>
        <w:t>Connect correctly</w:t>
      </w:r>
      <w:r>
        <w:rPr>
          <w:rFonts w:ascii="Arial" w:hAnsi="Arial"/>
          <w:color w:val="1D1D1B"/>
          <w:sz w:val="20"/>
        </w:rPr>
        <w:t xml:space="preserve"> — use the verified Velotrade REST base, login domain and Push endpoints.</w:t>
      </w:r>
    </w:p>
    <w:p>
      <w:pPr>
        <w:spacing w:after="50" w:line="264" w:lineRule="auto"/>
        <w:numPr>
          <w:ilvl w:val="0"/>
          <w:numId w:val="10"/>
        </w:numPr>
      </w:pPr>
      <w:r>
        <w:rPr>
          <w:rFonts w:ascii="Arial" w:hAnsi="Arial"/>
          <w:b/>
          <w:color w:val="0F172A"/>
          <w:sz w:val="20"/>
        </w:rPr>
        <w:t>Discover before assuming</w:t>
      </w:r>
      <w:r>
        <w:rPr>
          <w:rFonts w:ascii="Arial" w:hAnsi="Arial"/>
          <w:color w:val="1D1D1B"/>
          <w:sz w:val="20"/>
        </w:rPr>
        <w:t xml:space="preserve"> — identify the intended account, account-specific symbols, valid quantities and current margin information.</w:t>
      </w:r>
    </w:p>
    <w:p>
      <w:pPr>
        <w:spacing w:after="50" w:line="264" w:lineRule="auto"/>
        <w:numPr>
          <w:ilvl w:val="0"/>
          <w:numId w:val="10"/>
        </w:numPr>
      </w:pPr>
      <w:r>
        <w:rPr>
          <w:rFonts w:ascii="Arial" w:hAnsi="Arial"/>
          <w:b/>
          <w:color w:val="0F172A"/>
          <w:sz w:val="20"/>
        </w:rPr>
        <w:t>Build and review code</w:t>
      </w:r>
      <w:r>
        <w:rPr>
          <w:rFonts w:ascii="Arial" w:hAnsi="Arial"/>
          <w:color w:val="1D1D1B"/>
          <w:sz w:val="20"/>
        </w:rPr>
        <w:t xml:space="preserve"> — use the included Node.js and Python read-only examples as practical starting points.</w:t>
      </w:r>
    </w:p>
    <w:p>
      <w:pPr>
        <w:spacing w:after="50" w:line="264" w:lineRule="auto"/>
        <w:numPr>
          <w:ilvl w:val="0"/>
          <w:numId w:val="10"/>
        </w:numPr>
      </w:pPr>
      <w:r>
        <w:rPr>
          <w:rFonts w:ascii="Arial" w:hAnsi="Arial"/>
          <w:b/>
          <w:color w:val="0F172A"/>
          <w:sz w:val="20"/>
        </w:rPr>
        <w:t>Test connectivity</w:t>
      </w:r>
      <w:r>
        <w:rPr>
          <w:rFonts w:ascii="Arial" w:hAnsi="Arial"/>
          <w:color w:val="1D1D1B"/>
          <w:sz w:val="20"/>
        </w:rPr>
        <w:t xml:space="preserve"> — validate REST snapshots, business Push, market-data Push, correlation, ping handling and clean logout.</w:t>
      </w:r>
    </w:p>
    <w:p>
      <w:pPr>
        <w:spacing w:after="50" w:line="264" w:lineRule="auto"/>
        <w:numPr>
          <w:ilvl w:val="0"/>
          <w:numId w:val="10"/>
        </w:numPr>
      </w:pPr>
      <w:r>
        <w:rPr>
          <w:rFonts w:ascii="Arial" w:hAnsi="Arial"/>
          <w:b/>
          <w:color w:val="0F172A"/>
          <w:sz w:val="20"/>
        </w:rPr>
        <w:t>Support controlled API testing</w:t>
      </w:r>
      <w:r>
        <w:rPr>
          <w:rFonts w:ascii="Arial" w:hAnsi="Arial"/>
          <w:color w:val="1D1D1B"/>
          <w:sz w:val="20"/>
        </w:rPr>
        <w:t xml:space="preserve"> — after explicit authorisation, apply bounded choices, confirmed protection, reconciliation and flat shutdown.</w:t>
      </w:r>
    </w:p>
    <w:p>
      <w:pPr>
        <w:spacing w:after="50" w:line="264" w:lineRule="auto"/>
        <w:numPr>
          <w:ilvl w:val="0"/>
          <w:numId w:val="10"/>
        </w:numPr>
      </w:pPr>
      <w:r>
        <w:rPr>
          <w:rFonts w:ascii="Arial" w:hAnsi="Arial"/>
          <w:b/>
          <w:color w:val="0F172A"/>
          <w:sz w:val="20"/>
        </w:rPr>
        <w:t>Troubleshoot faster</w:t>
      </w:r>
      <w:r>
        <w:rPr>
          <w:rFonts w:ascii="Arial" w:hAnsi="Arial"/>
          <w:color w:val="1D1D1B"/>
          <w:sz w:val="20"/>
        </w:rPr>
        <w:t xml:space="preserve"> — recognise tested authentication, order, subscription and deployment-specific behaviours.</w:t>
      </w:r>
    </w:p>
    <w:p>
      <w:pPr>
        <w:pStyle w:val="Heading1"/>
      </w:pPr>
      <w:r>
        <w:t>What is inside</w:t>
      </w:r>
    </w:p>
    <w:p>
      <w:pPr>
        <w:spacing w:after="50" w:line="264" w:lineRule="auto"/>
        <w:numPr>
          <w:ilvl w:val="0"/>
          <w:numId w:val="10"/>
        </w:numPr>
      </w:pPr>
      <w:r>
        <w:rPr>
          <w:rFonts w:ascii="Arial" w:hAnsi="Arial"/>
          <w:b/>
          <w:color w:val="0F172A"/>
          <w:sz w:val="20"/>
        </w:rPr>
        <w:t>Core AI context</w:t>
      </w:r>
      <w:r>
        <w:rPr>
          <w:rFonts w:ascii="Arial" w:hAnsi="Arial"/>
          <w:color w:val="1D1D1B"/>
          <w:sz w:val="20"/>
        </w:rPr>
        <w:t xml:space="preserve"> — AI_INSTRUCTIONS.md, VELOTRADE_DXTRADE_KB.md and MANIFEST.json.</w:t>
      </w:r>
    </w:p>
    <w:p>
      <w:pPr>
        <w:spacing w:after="50" w:line="264" w:lineRule="auto"/>
        <w:numPr>
          <w:ilvl w:val="0"/>
          <w:numId w:val="10"/>
        </w:numPr>
      </w:pPr>
      <w:r>
        <w:rPr>
          <w:rFonts w:ascii="Arial" w:hAnsi="Arial"/>
          <w:b/>
          <w:color w:val="0F172A"/>
          <w:sz w:val="20"/>
        </w:rPr>
        <w:t>Setup and verification</w:t>
      </w:r>
      <w:r>
        <w:rPr>
          <w:rFonts w:ascii="Arial" w:hAnsi="Arial"/>
          <w:color w:val="1D1D1B"/>
          <w:sz w:val="20"/>
        </w:rPr>
        <w:t xml:space="preserve"> — README.md, FIRST_STEPS_FRESH_ACCOUNT.md, TEST_QUESTIONS.md and platform-specific prompts.</w:t>
      </w:r>
    </w:p>
    <w:p>
      <w:pPr>
        <w:spacing w:after="50" w:line="264" w:lineRule="auto"/>
        <w:numPr>
          <w:ilvl w:val="0"/>
          <w:numId w:val="10"/>
        </w:numPr>
      </w:pPr>
      <w:r>
        <w:rPr>
          <w:rFonts w:ascii="Arial" w:hAnsi="Arial"/>
          <w:b/>
          <w:color w:val="0F172A"/>
          <w:sz w:val="20"/>
        </w:rPr>
        <w:t>Technical reference</w:t>
      </w:r>
      <w:r>
        <w:rPr>
          <w:rFonts w:ascii="Arial" w:hAnsi="Arial"/>
          <w:color w:val="1D1D1B"/>
          <w:sz w:val="20"/>
        </w:rPr>
        <w:t xml:space="preserve"> — REST, Push, troubleshooting, safety and implementation guides in docs/.</w:t>
      </w:r>
    </w:p>
    <w:p>
      <w:pPr>
        <w:spacing w:after="50" w:line="264" w:lineRule="auto"/>
        <w:numPr>
          <w:ilvl w:val="0"/>
          <w:numId w:val="10"/>
        </w:numPr>
      </w:pPr>
      <w:r>
        <w:rPr>
          <w:rFonts w:ascii="Arial" w:hAnsi="Arial"/>
          <w:b/>
          <w:color w:val="0F172A"/>
          <w:sz w:val="20"/>
        </w:rPr>
        <w:t>Working examples</w:t>
      </w:r>
      <w:r>
        <w:rPr>
          <w:rFonts w:ascii="Arial" w:hAnsi="Arial"/>
          <w:color w:val="1D1D1B"/>
          <w:sz w:val="20"/>
        </w:rPr>
        <w:t xml:space="preserve"> — redacted-by-default Node.js and Python clients, doctors, fixtures and a disabled dry-run mutation example in examples/.</w:t>
      </w:r>
    </w:p>
    <w:p>
      <w:pPr>
        <w:spacing w:before="100" w:after="140" w:line="269" w:lineRule="auto"/>
        <w:ind w:left="202" w:right="202"/>
        <w:shd w:fill="EAFBF3"/>
        <w:pBdr>
          <w:top w:val="single" w:sz="4" w:color="D7DDE3" w:space="5"/>
          <w:left w:val="single" w:sz="4" w:color="D7DDE3" w:space="5"/>
          <w:bottom w:val="single" w:sz="4" w:color="D7DDE3" w:space="5"/>
          <w:right w:val="single" w:sz="4" w:color="D7DDE3" w:space="5"/>
        </w:pBdr>
      </w:pPr>
      <w:r>
        <w:rPr>
          <w:rFonts w:ascii="Arial" w:hAnsi="Arial"/>
          <w:b/>
          <w:color w:val="01CB6A"/>
          <w:sz w:val="19"/>
        </w:rPr>
        <w:t>WANT THE FULL TECHNICAL DETAIL?</w:t>
        <w:br/>
      </w:r>
      <w:r>
        <w:rPr>
          <w:rFonts w:ascii="Arial" w:hAnsi="Arial"/>
          <w:color w:val="0F172A"/>
          <w:sz w:val="18"/>
        </w:rPr>
        <w:t>The full-length Velotrade DXtrade API Handbook is retained inside docs/HUMAN_REFERENCE in both PDF and Word formats. Human readers can use it for a deeper walkthrough without cluttering the initial package view.</w:t>
      </w:r>
    </w:p>
    <w:p>
      <w:pPr>
        <w:pStyle w:val="Heading1"/>
      </w:pPr>
      <w:r>
        <w:t>Before any order activity</w:t>
      </w:r>
    </w:p>
    <w:p>
      <w:r>
        <w:rPr>
          <w:rFonts w:ascii="Arial" w:hAnsi="Arial"/>
          <w:color w:val="1D1D1B"/>
          <w:sz w:val="21"/>
        </w:rPr>
        <w:t>The package does not contain a static copy of Velotrade trading rules. Before mutations, the AI must retrieve the current official Velotrade website pages identified in the safety guide. Keep credentials in a secret store or transient environment variables, state explicit risk limits, require confirmed protection and finish with zero unintended positions or orders.</w:t>
      </w:r>
    </w:p>
    <w:p>
      <w:pPr>
        <w:spacing w:before="160" w:after="0" w:line="259" w:lineRule="auto"/>
        <w:shd w:fill="FFF2F1"/>
        <w:pBdr>
          <w:top w:val="single" w:sz="4" w:color="D7DDE3" w:space="5"/>
          <w:left w:val="single" w:sz="4" w:color="D7DDE3" w:space="5"/>
          <w:bottom w:val="single" w:sz="4" w:color="D7DDE3" w:space="5"/>
          <w:right w:val="single" w:sz="4" w:color="D7DDE3" w:space="5"/>
          <w:top w:val="single" w:sz="14" w:space="8" w:color="FF5A57"/>
        </w:pBdr>
      </w:pPr>
      <w:r>
        <w:rPr>
          <w:rFonts w:ascii="Arial" w:hAnsi="Arial"/>
          <w:b/>
          <w:color w:val="FF5A57"/>
          <w:sz w:val="19"/>
        </w:rPr>
        <w:t>IMPORTANT DISCLAIMER</w:t>
        <w:br/>
      </w:r>
      <w:r>
        <w:rPr>
          <w:rFonts w:ascii="Arial" w:hAnsi="Arial"/>
          <w:b/>
          <w:color w:val="0F172A"/>
          <w:sz w:val="16"/>
        </w:rPr>
        <w:t>This guide and AI-KB facilitate technical implementation only. They are not legal, compliance, financial, investment, risk-management or trading advice; prescribe no implementation or strategy; and guarantee no availability, execution, performance or profit. The trader and implementer remain responsible for design, testing, supervision, credential security, risk controls, trading decisions and compliance with current Velotrade website terms, rules, disclosures, product information, account conditions and applicable law. DXtrade interfaces and account behaviour may change.</w:t>
      </w:r>
    </w:p>
    <w:sectPr w:rsidR="00FC693F" w:rsidRPr="0006063C" w:rsidSect="00034616">
      <w:headerReference w:type="default" r:id="rId9"/>
      <w:footerReference w:type="default" r:id="rId10"/>
      <w:pgSz w:w="12240" w:h="15840"/>
      <w:pgMar w:top="1037" w:right="1181" w:bottom="1037" w:left="1181" w:header="490" w:footer="49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109728" cy="109728"/>
          <wp:docPr id="1" name="Picture 1" descr="Velotrade mark" title="Velotrade mark"/>
          <wp:cNvGraphicFramePr>
            <a:graphicFrameLocks noChangeAspect="1"/>
          </wp:cNvGraphicFramePr>
          <a:graphic>
            <a:graphicData uri="http://schemas.openxmlformats.org/drawingml/2006/picture">
              <pic:pic>
                <pic:nvPicPr>
                  <pic:cNvPr id="0" name="velotrade-square-mark.png"/>
                  <pic:cNvPicPr/>
                </pic:nvPicPr>
                <pic:blipFill>
                  <a:blip r:embed="rId1"/>
                  <a:stretch>
                    <a:fillRect/>
                  </a:stretch>
                </pic:blipFill>
                <pic:spPr>
                  <a:xfrm>
                    <a:off x="0" y="0"/>
                    <a:ext cx="109728" cy="109728"/>
                  </a:xfrm>
                  <a:prstGeom prst="rect"/>
                </pic:spPr>
              </pic:pic>
            </a:graphicData>
          </a:graphic>
        </wp:inline>
      </w:drawing>
    </w:r>
    <w:r>
      <w:rPr>
        <w:rFonts w:ascii="Arial" w:hAnsi="Arial"/>
        <w:b/>
        <w:color w:val="01CB6A"/>
        <w:sz w:val="16"/>
      </w:rPr>
      <w:t xml:space="preserve">  VELOTRADE  •  AI-KB QUICK START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after="80" w:line="300" w:lineRule="auto"/>
      </w:pPr>
    </w:lvl>
  </w:abstractNum>
  <w:num w:numId="10">
    <w:abstractNumId w:val="9"/>
  </w:num>
  <w:abstractNum w:abstractNumId="10">
    <w:multiLevelType w:val="singleLevel"/>
    <w:lvl w:ilvl="0">
      <w:start w:val="1"/>
      <w:numFmt w:val="decimal"/>
      <w:lvlText w:val="%1."/>
      <w:lvlJc w:val="left"/>
      <w:pPr>
        <w:tabs>
          <w:tab w:val="num" w:pos="540"/>
        </w:tabs>
        <w:ind w:left="540" w:hanging="270"/>
        <w:spacing w:after="80" w:line="300" w:lineRule="auto"/>
      </w:p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rial" w:hAnsi="Arial"/>
      <w:color w:val="1D1D1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0F172A"/>
      <w:sz w:val="30"/>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rial" w:hAnsi="Arial"/>
      <w:b/>
      <w:bCs/>
      <w:color w:val="01CB6A"/>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Velotrade AI-KB Quick Start</dc:title>
  <dc:subject>Quick setup guide for the Velotrade DXtrade AI knowledge base</dc:subject>
  <dc:creator>Velotrade</dc:creator>
  <cp:keywords>Velotrade, DXtrade, AI-KB, REST API, Push API</cp:keywords>
  <dc:description>Velotrade release Version 2.11</dc:description>
  <cp:lastModifiedBy/>
  <cp:revision>1</cp:revision>
  <dcterms:created xsi:type="dcterms:W3CDTF">2013-12-23T23:15:00Z</dcterms:created>
  <dcterms:modified xsi:type="dcterms:W3CDTF">2013-12-23T23:15:00Z</dcterms:modified>
  <cp:category/>
</cp:coreProperties>
</file>